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4E" w:rsidRDefault="00AB7F4E" w:rsidP="00AB7F4E">
      <w:pPr>
        <w:spacing w:after="0" w:line="20" w:lineRule="atLeast"/>
        <w:jc w:val="center"/>
        <w:rPr>
          <w:rFonts w:ascii="Garamond" w:hAnsi="Garamond"/>
          <w:b/>
          <w:sz w:val="24"/>
          <w:szCs w:val="24"/>
        </w:rPr>
      </w:pPr>
      <w:r>
        <w:rPr>
          <w:rFonts w:ascii="Garamond" w:hAnsi="Garamond"/>
          <w:b/>
          <w:sz w:val="24"/>
          <w:szCs w:val="24"/>
        </w:rPr>
        <w:t>TÁJÉKOZTATÁS AZ ADÓS GAZDÁLKODÓ SZERVEZET VOLT KÉPVISELŐJÉNEK KÖTELEZETTSÉGEIRŐL</w:t>
      </w:r>
      <w:r w:rsidR="004C6F1B">
        <w:rPr>
          <w:rFonts w:ascii="Garamond" w:hAnsi="Garamond"/>
          <w:b/>
          <w:sz w:val="24"/>
          <w:szCs w:val="24"/>
        </w:rPr>
        <w:t xml:space="preserve"> FELSZÁMOLÁSI ELJÁRÁSBAN</w:t>
      </w:r>
      <w:bookmarkStart w:id="0" w:name="_GoBack"/>
      <w:bookmarkEnd w:id="0"/>
    </w:p>
    <w:p w:rsidR="00AB7F4E" w:rsidRDefault="00AB7F4E" w:rsidP="00AB7F4E">
      <w:pPr>
        <w:spacing w:after="0" w:line="20" w:lineRule="atLeast"/>
        <w:jc w:val="center"/>
        <w:rPr>
          <w:rFonts w:ascii="Garamond" w:hAnsi="Garamond"/>
          <w:b/>
          <w:sz w:val="24"/>
          <w:szCs w:val="24"/>
        </w:rPr>
      </w:pPr>
    </w:p>
    <w:p w:rsidR="00AB7F4E" w:rsidRDefault="00AB7F4E" w:rsidP="00AB7F4E">
      <w:pPr>
        <w:spacing w:after="0" w:line="20" w:lineRule="atLeast"/>
        <w:jc w:val="center"/>
        <w:rPr>
          <w:rFonts w:ascii="Garamond" w:hAnsi="Garamond"/>
          <w:b/>
          <w:sz w:val="24"/>
          <w:szCs w:val="24"/>
        </w:rPr>
      </w:pPr>
    </w:p>
    <w:p w:rsidR="00135823" w:rsidRPr="00160317" w:rsidRDefault="00AB7F4E" w:rsidP="00135823">
      <w:pPr>
        <w:spacing w:after="0" w:line="20" w:lineRule="atLeast"/>
        <w:jc w:val="both"/>
        <w:rPr>
          <w:rFonts w:ascii="Garamond" w:hAnsi="Garamond"/>
          <w:b/>
          <w:sz w:val="24"/>
          <w:szCs w:val="24"/>
        </w:rPr>
      </w:pPr>
      <w:r>
        <w:rPr>
          <w:rFonts w:ascii="Garamond" w:hAnsi="Garamond"/>
          <w:b/>
          <w:sz w:val="24"/>
          <w:szCs w:val="24"/>
        </w:rPr>
        <w:t xml:space="preserve">Cstv. </w:t>
      </w:r>
      <w:r w:rsidR="00135823" w:rsidRPr="00160317">
        <w:rPr>
          <w:rFonts w:ascii="Garamond" w:hAnsi="Garamond"/>
          <w:b/>
          <w:sz w:val="24"/>
          <w:szCs w:val="24"/>
        </w:rPr>
        <w:t>31. §</w:t>
      </w:r>
      <w:r w:rsidR="00135823" w:rsidRPr="00135823">
        <w:rPr>
          <w:rFonts w:ascii="Garamond" w:hAnsi="Garamond"/>
          <w:sz w:val="24"/>
          <w:szCs w:val="24"/>
        </w:rPr>
        <w:t xml:space="preserve"> (1) </w:t>
      </w:r>
      <w:r w:rsidR="00135823" w:rsidRPr="00160317">
        <w:rPr>
          <w:rFonts w:ascii="Garamond" w:hAnsi="Garamond"/>
          <w:b/>
          <w:sz w:val="24"/>
          <w:szCs w:val="24"/>
        </w:rPr>
        <w:t>A felszámolás alatt álló gazdálkodó szervezet vezetője köteles:</w:t>
      </w:r>
    </w:p>
    <w:p w:rsidR="00135823" w:rsidRPr="00135823" w:rsidRDefault="00135823" w:rsidP="00135823">
      <w:pPr>
        <w:spacing w:after="0" w:line="20" w:lineRule="atLeast"/>
        <w:jc w:val="both"/>
        <w:rPr>
          <w:rFonts w:ascii="Garamond" w:hAnsi="Garamond"/>
          <w:sz w:val="24"/>
          <w:szCs w:val="24"/>
        </w:rPr>
      </w:pPr>
    </w:p>
    <w:p w:rsidR="00135823" w:rsidRPr="00160317" w:rsidRDefault="00135823" w:rsidP="00135823">
      <w:pPr>
        <w:spacing w:after="0" w:line="20" w:lineRule="atLeast"/>
        <w:jc w:val="both"/>
        <w:rPr>
          <w:rFonts w:ascii="Garamond" w:hAnsi="Garamond"/>
          <w:b/>
          <w:sz w:val="24"/>
          <w:szCs w:val="24"/>
        </w:rPr>
      </w:pPr>
      <w:r w:rsidRPr="00135823">
        <w:rPr>
          <w:rFonts w:ascii="Garamond" w:hAnsi="Garamond"/>
          <w:sz w:val="24"/>
          <w:szCs w:val="24"/>
        </w:rPr>
        <w:t xml:space="preserve">a) </w:t>
      </w:r>
      <w:r w:rsidRPr="00160317">
        <w:rPr>
          <w:rFonts w:ascii="Garamond" w:hAnsi="Garamond"/>
          <w:b/>
          <w:sz w:val="24"/>
          <w:szCs w:val="24"/>
        </w:rPr>
        <w:t>a felszámolás kezdő időpontját megelőző nappal záróleltárt, valamint éves beszámolót</w:t>
      </w:r>
      <w:r w:rsidRPr="00135823">
        <w:rPr>
          <w:rFonts w:ascii="Garamond" w:hAnsi="Garamond"/>
          <w:sz w:val="24"/>
          <w:szCs w:val="24"/>
        </w:rPr>
        <w:t xml:space="preserve"> (egyszerűsített éves beszámolót) (a továbbiakban együtt: tevékenységet lezáró mérleg), továbbá az </w:t>
      </w:r>
      <w:r w:rsidRPr="00160317">
        <w:rPr>
          <w:rFonts w:ascii="Garamond" w:hAnsi="Garamond"/>
          <w:b/>
          <w:sz w:val="24"/>
          <w:szCs w:val="24"/>
        </w:rPr>
        <w:t>eredmény felosztása után zárómérleget és adóbevallást készíteni</w:t>
      </w:r>
      <w:r w:rsidRPr="00135823">
        <w:rPr>
          <w:rFonts w:ascii="Garamond" w:hAnsi="Garamond"/>
          <w:sz w:val="24"/>
          <w:szCs w:val="24"/>
        </w:rPr>
        <w:t xml:space="preserve">, azokat a felszámolás kezdő időpontját követő </w:t>
      </w:r>
      <w:r w:rsidRPr="00160317">
        <w:rPr>
          <w:rFonts w:ascii="Garamond" w:hAnsi="Garamond"/>
          <w:b/>
          <w:sz w:val="24"/>
          <w:szCs w:val="24"/>
        </w:rPr>
        <w:t>30 napon belül a felszámolónak és az adóhatóságnak átadni és nyilatkozni arról,</w:t>
      </w:r>
      <w:r w:rsidRPr="00135823">
        <w:rPr>
          <w:rFonts w:ascii="Garamond" w:hAnsi="Garamond"/>
          <w:sz w:val="24"/>
          <w:szCs w:val="24"/>
        </w:rPr>
        <w:t xml:space="preserve"> </w:t>
      </w:r>
      <w:r w:rsidRPr="00160317">
        <w:rPr>
          <w:rFonts w:ascii="Garamond" w:hAnsi="Garamond"/>
          <w:b/>
          <w:sz w:val="24"/>
          <w:szCs w:val="24"/>
        </w:rPr>
        <w:t>hogy a tevékenységet lezáró mérleg, illetve az eredmény felosztása után készített zárómérleg az adós vagyoni helyzetéről valós és megbízható képet ad, valamint nyilatkozni arról is, hogy a mérleg elfogadása óta az adós vagyoni helyzetében milyen lényeges változások történtek,</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b) </w:t>
      </w:r>
      <w:r w:rsidRPr="00160317">
        <w:rPr>
          <w:rFonts w:ascii="Garamond" w:hAnsi="Garamond"/>
          <w:b/>
          <w:sz w:val="24"/>
          <w:szCs w:val="24"/>
        </w:rPr>
        <w:t>a nem selejtezhető iratokról iratjegyzéket készíteni</w:t>
      </w:r>
      <w:r w:rsidRPr="00135823">
        <w:rPr>
          <w:rFonts w:ascii="Garamond" w:hAnsi="Garamond"/>
          <w:sz w:val="24"/>
          <w:szCs w:val="24"/>
        </w:rPr>
        <w:t>, és azt, az irattári anyagot, valamint a vagyont leltár szerint átadni a felszámolónak legkésőbb a felszámolás kezdő időpontját követő 30 napon belül, ugyanilyen határidővel a folyamatban lévő ügyekről, eljárásokról tájékoztatást adni, továbbá nyilatkozni arról, hogy valamennyi vagyontárgyra, iratra vonatkozóan teljesítette az átadási kötelezettségét,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c)</w:t>
      </w:r>
      <w:r>
        <w:rPr>
          <w:rFonts w:ascii="Garamond" w:hAnsi="Garamond"/>
          <w:sz w:val="24"/>
          <w:szCs w:val="24"/>
        </w:rPr>
        <w:t xml:space="preserve"> </w:t>
      </w:r>
      <w:r w:rsidRPr="00135823">
        <w:rPr>
          <w:rFonts w:ascii="Garamond" w:hAnsi="Garamond"/>
          <w:sz w:val="24"/>
          <w:szCs w:val="24"/>
        </w:rPr>
        <w:t xml:space="preserve">a felszámolás kezdő időpontjától számított </w:t>
      </w:r>
      <w:r w:rsidRPr="00160317">
        <w:rPr>
          <w:rFonts w:ascii="Garamond" w:hAnsi="Garamond"/>
          <w:b/>
          <w:sz w:val="24"/>
          <w:szCs w:val="24"/>
        </w:rPr>
        <w:t>15 napon belül a felszámolónak és a környezetvédelmi és természetvédelmi hatóságnak nyilatkozatot tenni arról</w:t>
      </w:r>
      <w:r w:rsidRPr="00135823">
        <w:rPr>
          <w:rFonts w:ascii="Garamond" w:hAnsi="Garamond"/>
          <w:sz w:val="24"/>
          <w:szCs w:val="24"/>
        </w:rPr>
        <w:t>, hogy maradtak-e fenn olyan környezeti károsodások, környezeti terhek, melyekből bírságfizetési vagy egyéb fizetési kötelezettség, a károsodások, illetve terhek rendezéséhez szükséges kiadás szár</w:t>
      </w:r>
      <w:r>
        <w:rPr>
          <w:rFonts w:ascii="Garamond" w:hAnsi="Garamond"/>
          <w:sz w:val="24"/>
          <w:szCs w:val="24"/>
        </w:rPr>
        <w:t>mazhat,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d) a felszámolónak </w:t>
      </w:r>
      <w:r w:rsidRPr="00160317">
        <w:rPr>
          <w:rFonts w:ascii="Garamond" w:hAnsi="Garamond"/>
          <w:b/>
          <w:sz w:val="24"/>
          <w:szCs w:val="24"/>
        </w:rPr>
        <w:t>tájékoztatást adni minden a 40. § (1) bekezdés tárgyát képező jogügyletről, illetve kötelezettségvállalásról,</w:t>
      </w:r>
    </w:p>
    <w:p w:rsidR="00135823" w:rsidRDefault="00135823" w:rsidP="00135823">
      <w:pPr>
        <w:spacing w:after="0" w:line="20" w:lineRule="atLeast"/>
        <w:jc w:val="both"/>
        <w:rPr>
          <w:rFonts w:ascii="Garamond" w:hAnsi="Garamond"/>
          <w:sz w:val="24"/>
          <w:szCs w:val="24"/>
        </w:rPr>
      </w:pPr>
    </w:p>
    <w:p w:rsidR="00AB7F4E" w:rsidRPr="00E71541" w:rsidRDefault="00AB7F4E" w:rsidP="00AB7F4E">
      <w:pPr>
        <w:spacing w:after="0" w:line="20" w:lineRule="atLeast"/>
        <w:ind w:left="567"/>
        <w:jc w:val="both"/>
        <w:rPr>
          <w:rFonts w:ascii="Garamond" w:hAnsi="Garamond"/>
          <w:i/>
          <w:sz w:val="24"/>
          <w:szCs w:val="24"/>
        </w:rPr>
      </w:pPr>
      <w:r w:rsidRPr="00E71541">
        <w:rPr>
          <w:rFonts w:ascii="Garamond" w:hAnsi="Garamond"/>
          <w:i/>
          <w:sz w:val="24"/>
          <w:szCs w:val="24"/>
        </w:rPr>
        <w:t>Cstv. 40. § (1) A tudomásszerzéstől számított 120 napon, de legfeljebb a felszámolást elrendelő végzés közzétételének időpontjától számított 1 éves jogvesztő határidőn belül a hitelező - vagy az adós nevében a felszámoló - a bíróság [6. § (1) bekezdés] előtt keresettel megtámadhatja az adósnak</w:t>
      </w:r>
    </w:p>
    <w:p w:rsidR="00AB7F4E" w:rsidRPr="00E71541" w:rsidRDefault="00AB7F4E" w:rsidP="00AB7F4E">
      <w:pPr>
        <w:spacing w:after="0" w:line="20" w:lineRule="atLeast"/>
        <w:ind w:left="567"/>
        <w:jc w:val="both"/>
        <w:rPr>
          <w:rFonts w:ascii="Garamond" w:hAnsi="Garamond"/>
          <w:i/>
          <w:sz w:val="24"/>
          <w:szCs w:val="24"/>
        </w:rPr>
      </w:pPr>
      <w:r w:rsidRPr="00E71541">
        <w:rPr>
          <w:rFonts w:ascii="Garamond" w:hAnsi="Garamond"/>
          <w:i/>
          <w:sz w:val="24"/>
          <w:szCs w:val="24"/>
        </w:rPr>
        <w:t>a) a felszámolási eljárás lefolytatására irányuló kérelem bíróságra történő beérkezése napját megelőző öt éven belül és azt követően megkötött, az adós vagyonának csökkenését eredményező szerződését vagy más jognyilatkozatát, ha az adós szándéka a hitelező vagy a hitelezők kijátszására irányult, és a másik fél erről a szándékról tudott vagy tudnia kellett,</w:t>
      </w:r>
    </w:p>
    <w:p w:rsidR="00AB7F4E" w:rsidRPr="00E71541" w:rsidRDefault="00AB7F4E" w:rsidP="00AB7F4E">
      <w:pPr>
        <w:spacing w:after="0" w:line="20" w:lineRule="atLeast"/>
        <w:ind w:left="567"/>
        <w:jc w:val="both"/>
        <w:rPr>
          <w:rFonts w:ascii="Garamond" w:hAnsi="Garamond"/>
          <w:i/>
          <w:sz w:val="24"/>
          <w:szCs w:val="24"/>
        </w:rPr>
      </w:pPr>
      <w:r w:rsidRPr="00E71541">
        <w:rPr>
          <w:rFonts w:ascii="Garamond" w:hAnsi="Garamond"/>
          <w:i/>
          <w:sz w:val="24"/>
          <w:szCs w:val="24"/>
        </w:rPr>
        <w:t>b) a felszámolási eljárás lefolytatására irányuló kérelem bíróságra történő beérkezése napját megelőző három éven belül és azt követően megkötött szerződését vagy más jognyilatkozatát, ha annak tárgya az adós vagyonából történő ingyenes elidegenítés, illetve a vagyont terhelő ingyenes kötelezettségvállalás vagy a harmadik személy javára feltűnően aránytalan értékkülönbözettel megkötött visszterhes jogügylet,</w:t>
      </w:r>
    </w:p>
    <w:p w:rsidR="00AB7F4E" w:rsidRPr="00E71541" w:rsidRDefault="00AB7F4E" w:rsidP="00AB7F4E">
      <w:pPr>
        <w:spacing w:after="0" w:line="20" w:lineRule="atLeast"/>
        <w:ind w:left="567"/>
        <w:jc w:val="both"/>
        <w:rPr>
          <w:rFonts w:ascii="Garamond" w:hAnsi="Garamond"/>
          <w:i/>
          <w:sz w:val="24"/>
          <w:szCs w:val="24"/>
        </w:rPr>
      </w:pPr>
      <w:r w:rsidRPr="00E71541">
        <w:rPr>
          <w:rFonts w:ascii="Garamond" w:hAnsi="Garamond"/>
          <w:i/>
          <w:sz w:val="24"/>
          <w:szCs w:val="24"/>
        </w:rPr>
        <w:t>c) a felszámolási eljárás lefolytatására irányuló kérelem bíróságra történő beérkezése napját megelőző kilencven napon belül és azt követően kötött szerződését vagy más jognyilatkozatát, ha annak tárgya egy hitelező előnyben részesítése, különösen egy fennálló szerződésnek a hitelező javára történő módosítása vagy biztosítékkal nem rendelkező hitelező számára biztosíték nyújtása,</w:t>
      </w:r>
    </w:p>
    <w:p w:rsidR="00AB7F4E" w:rsidRPr="00E71541" w:rsidRDefault="00AB7F4E" w:rsidP="00E71541">
      <w:pPr>
        <w:spacing w:after="0" w:line="20" w:lineRule="atLeast"/>
        <w:ind w:left="567"/>
        <w:jc w:val="both"/>
        <w:rPr>
          <w:rFonts w:ascii="Garamond" w:hAnsi="Garamond"/>
          <w:i/>
          <w:sz w:val="24"/>
          <w:szCs w:val="24"/>
        </w:rPr>
      </w:pPr>
      <w:r w:rsidRPr="00E71541">
        <w:rPr>
          <w:rFonts w:ascii="Garamond" w:hAnsi="Garamond"/>
          <w:i/>
          <w:sz w:val="24"/>
          <w:szCs w:val="24"/>
        </w:rPr>
        <w:t xml:space="preserve">d) a felszámolási eljárás lefolytatására irányuló kérelem bíróságra történő beérkezése napját megelőző három éven belül és azt követően megkötött szerződését vagy más jognyilatkozatát, ha annak tárgya olyan biztosítéki célú tulajdonátruházás, illetve jog vagy követelés biztosítéki célú átruházása vagy biztosítéki célú vételi jog gyakorlása volt, amelynek alapján a jogosult a szerzett jogával olyan módon élt, hogy az adóssal szemben fennálló elszámolási kötelezettségét nem vagy nem megfelelően teljesítette, illetve a biztosított követelést meghaladó fedezetet az adósnak nem adta ki; ha a jogszerzésre jogosult a tulajdonjog, más jog vagy követelés </w:t>
      </w:r>
      <w:r w:rsidRPr="00E71541">
        <w:rPr>
          <w:rFonts w:ascii="Garamond" w:hAnsi="Garamond"/>
          <w:i/>
          <w:sz w:val="24"/>
          <w:szCs w:val="24"/>
        </w:rPr>
        <w:lastRenderedPageBreak/>
        <w:t>biztosítéki célból történő megszerzését a hitelbiztosítéki nyilvántartásba, illetve vételi jogát az ingatlan-nyilvántartásba nem jegyeztette be, a megtámadás feltételein</w:t>
      </w:r>
      <w:r w:rsidR="00E71541" w:rsidRPr="00E71541">
        <w:rPr>
          <w:rFonts w:ascii="Garamond" w:hAnsi="Garamond"/>
          <w:i/>
          <w:sz w:val="24"/>
          <w:szCs w:val="24"/>
        </w:rPr>
        <w:t>ek fennállását vélelmezni kell.</w:t>
      </w:r>
    </w:p>
    <w:p w:rsidR="00AB7F4E" w:rsidRPr="00E71541" w:rsidRDefault="00AB7F4E" w:rsidP="00AB7F4E">
      <w:pPr>
        <w:spacing w:after="0" w:line="20" w:lineRule="atLeast"/>
        <w:ind w:left="567"/>
        <w:jc w:val="both"/>
        <w:rPr>
          <w:rFonts w:ascii="Garamond" w:hAnsi="Garamond"/>
          <w:i/>
          <w:sz w:val="24"/>
          <w:szCs w:val="24"/>
        </w:rPr>
      </w:pPr>
      <w:r w:rsidRPr="00E71541">
        <w:rPr>
          <w:rFonts w:ascii="Garamond" w:hAnsi="Garamond"/>
          <w:i/>
          <w:sz w:val="24"/>
          <w:szCs w:val="24"/>
        </w:rPr>
        <w:t>(1a) A jogügyletek eredményes megtámadása esetén a Ptk. érvénytelen szerződésre vonatkozó rendelkezéseit kell alkalmazni. A felszámoló és a hitelező érvénytelenség címén kérheti az eredeti állapot helyreállítását és a vagyontárgyra a vagyontárgy elidegenítését követően alapított és közhiteles nyilvántartásba bejegyzett jog törlését is.</w:t>
      </w:r>
    </w:p>
    <w:p w:rsidR="00AB7F4E" w:rsidRPr="00AB7F4E" w:rsidRDefault="00AB7F4E" w:rsidP="00AB7F4E">
      <w:pPr>
        <w:spacing w:after="0" w:line="20" w:lineRule="atLeast"/>
        <w:ind w:left="567"/>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e) </w:t>
      </w:r>
      <w:r w:rsidRPr="00160317">
        <w:rPr>
          <w:rFonts w:ascii="Garamond" w:hAnsi="Garamond"/>
          <w:b/>
          <w:sz w:val="24"/>
          <w:szCs w:val="24"/>
        </w:rPr>
        <w:t>a felszámolás elrendeléséről a munkavállalókat</w:t>
      </w:r>
      <w:r w:rsidRPr="00135823">
        <w:rPr>
          <w:rFonts w:ascii="Garamond" w:hAnsi="Garamond"/>
          <w:sz w:val="24"/>
          <w:szCs w:val="24"/>
        </w:rPr>
        <w:t xml:space="preserve">, illetve a szövetkezeti tagokat, valamint az Mt. 270. §-ában meghatározott szakszervezeteket, az Mt. XX. fejezete szerinti üzemi tanácsot (üzemi megbízottat) </w:t>
      </w:r>
      <w:r w:rsidRPr="00160317">
        <w:rPr>
          <w:rFonts w:ascii="Garamond" w:hAnsi="Garamond"/>
          <w:b/>
          <w:sz w:val="24"/>
          <w:szCs w:val="24"/>
        </w:rPr>
        <w:t>haladéktalanul tájékoztatni</w:t>
      </w:r>
      <w:r w:rsidRPr="00135823">
        <w:rPr>
          <w:rFonts w:ascii="Garamond" w:hAnsi="Garamond"/>
          <w:sz w:val="24"/>
          <w:szCs w:val="24"/>
        </w:rPr>
        <w: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f) a felszámolás elrendeléséről az </w:t>
      </w:r>
      <w:r w:rsidRPr="00160317">
        <w:rPr>
          <w:rFonts w:ascii="Garamond" w:hAnsi="Garamond"/>
          <w:b/>
          <w:sz w:val="24"/>
          <w:szCs w:val="24"/>
        </w:rPr>
        <w:t>57. § (1) bekezdésének c) pontjában meghatározott követelések jogosultjait</w:t>
      </w:r>
      <w:r w:rsidRPr="00135823">
        <w:rPr>
          <w:rFonts w:ascii="Garamond" w:hAnsi="Garamond"/>
          <w:sz w:val="24"/>
          <w:szCs w:val="24"/>
        </w:rPr>
        <w:t xml:space="preserve"> a felszámolás kezdő időpontját követő </w:t>
      </w:r>
      <w:r w:rsidRPr="00160317">
        <w:rPr>
          <w:rFonts w:ascii="Garamond" w:hAnsi="Garamond"/>
          <w:b/>
          <w:sz w:val="24"/>
          <w:szCs w:val="24"/>
        </w:rPr>
        <w:t>15 napon belül tájékoztatni</w:t>
      </w:r>
      <w:r w:rsidRPr="00135823">
        <w:rPr>
          <w:rFonts w:ascii="Garamond" w:hAnsi="Garamond"/>
          <w:sz w:val="24"/>
          <w:szCs w:val="24"/>
        </w:rPr>
        <w:t>,</w:t>
      </w:r>
    </w:p>
    <w:p w:rsidR="00135823" w:rsidRDefault="00135823" w:rsidP="00135823">
      <w:pPr>
        <w:spacing w:after="0" w:line="20" w:lineRule="atLeast"/>
        <w:jc w:val="both"/>
        <w:rPr>
          <w:rFonts w:ascii="Garamond" w:hAnsi="Garamond"/>
          <w:sz w:val="24"/>
          <w:szCs w:val="24"/>
        </w:rPr>
      </w:pPr>
    </w:p>
    <w:p w:rsidR="00160317" w:rsidRDefault="00160317" w:rsidP="00AB7F4E">
      <w:pPr>
        <w:spacing w:after="0" w:line="20" w:lineRule="atLeast"/>
        <w:ind w:left="567"/>
        <w:jc w:val="both"/>
        <w:rPr>
          <w:rFonts w:ascii="Garamond" w:hAnsi="Garamond"/>
          <w:sz w:val="24"/>
          <w:szCs w:val="24"/>
        </w:rPr>
      </w:pPr>
      <w:r w:rsidRPr="00AB7F4E">
        <w:rPr>
          <w:rFonts w:ascii="Garamond" w:hAnsi="Garamond"/>
          <w:i/>
          <w:sz w:val="24"/>
          <w:szCs w:val="24"/>
        </w:rPr>
        <w:t>57. § (1) bek. c)</w:t>
      </w:r>
      <w:r>
        <w:rPr>
          <w:rFonts w:ascii="Garamond" w:hAnsi="Garamond"/>
          <w:sz w:val="24"/>
          <w:szCs w:val="24"/>
        </w:rPr>
        <w:t xml:space="preserve"> </w:t>
      </w:r>
      <w:r w:rsidRPr="00AB7F4E">
        <w:rPr>
          <w:rFonts w:ascii="Garamond" w:hAnsi="Garamond"/>
          <w:i/>
          <w:sz w:val="24"/>
          <w:szCs w:val="24"/>
        </w:rPr>
        <w:t>„a gazdálkodó szervezetet terhelő tartásdíj, életjáradék, kártérítési járadék, bányászati keresetkiegészítés, továbbá a mezőgazdasági szövetkezet tagja részére a háztáji föld vagy termény helyett adott pénzbeli juttatás, amely a jogosultat élete végéig megilleti</w:t>
      </w:r>
      <w:r w:rsidR="00AB7F4E" w:rsidRPr="00AB7F4E">
        <w:rPr>
          <w:rFonts w:ascii="Garamond" w:hAnsi="Garamond"/>
          <w:i/>
          <w:sz w:val="24"/>
          <w:szCs w:val="24"/>
        </w:rPr>
        <w:t>”</w:t>
      </w:r>
    </w:p>
    <w:p w:rsidR="00160317" w:rsidRPr="00135823" w:rsidRDefault="00160317" w:rsidP="00135823">
      <w:pPr>
        <w:spacing w:after="0" w:line="20" w:lineRule="atLeast"/>
        <w:jc w:val="both"/>
        <w:rPr>
          <w:rFonts w:ascii="Garamond" w:hAnsi="Garamond"/>
          <w:sz w:val="24"/>
          <w:szCs w:val="24"/>
        </w:rPr>
      </w:pPr>
    </w:p>
    <w:p w:rsidR="00135823" w:rsidRPr="00160317" w:rsidRDefault="00135823" w:rsidP="00135823">
      <w:pPr>
        <w:spacing w:after="0" w:line="20" w:lineRule="atLeast"/>
        <w:jc w:val="both"/>
        <w:rPr>
          <w:rFonts w:ascii="Garamond" w:hAnsi="Garamond"/>
          <w:b/>
          <w:sz w:val="24"/>
          <w:szCs w:val="24"/>
        </w:rPr>
      </w:pPr>
      <w:r w:rsidRPr="00135823">
        <w:rPr>
          <w:rFonts w:ascii="Garamond" w:hAnsi="Garamond"/>
          <w:sz w:val="24"/>
          <w:szCs w:val="24"/>
        </w:rPr>
        <w:t xml:space="preserve">g) a felszámoló kérésére </w:t>
      </w:r>
      <w:r w:rsidRPr="00160317">
        <w:rPr>
          <w:rFonts w:ascii="Garamond" w:hAnsi="Garamond"/>
          <w:b/>
          <w:sz w:val="24"/>
          <w:szCs w:val="24"/>
        </w:rPr>
        <w:t>az adós felszámolás előtti tevékenységével, a vagyontárgyak elhelyezésével kapcsolatos tájékoztatást megadni, a felszámoló tevékenységét elősegíteni,</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h) a felszámolás elrendeléséről a felszámolás elrendelését követő </w:t>
      </w:r>
      <w:r w:rsidRPr="00160317">
        <w:rPr>
          <w:rFonts w:ascii="Garamond" w:hAnsi="Garamond"/>
          <w:b/>
          <w:sz w:val="24"/>
          <w:szCs w:val="24"/>
        </w:rPr>
        <w:t>három munkanapon belül értesíteni az adós értékpapírszámláját vezető szolgáltatót</w:t>
      </w:r>
      <w:r w:rsidRPr="00135823">
        <w:rPr>
          <w:rFonts w:ascii="Garamond" w:hAnsi="Garamond"/>
          <w:sz w:val="24"/>
          <w:szCs w:val="24"/>
        </w:rPr>
        <w:t xml:space="preserve"> és az egyéb pénzpiaci eszközeit kezelő szolgáltatót, valamint </w:t>
      </w:r>
      <w:r w:rsidRPr="00160317">
        <w:rPr>
          <w:rFonts w:ascii="Garamond" w:hAnsi="Garamond"/>
          <w:b/>
          <w:sz w:val="24"/>
          <w:szCs w:val="24"/>
        </w:rPr>
        <w:t>a zálogjoggal, végrehajtási joggal és óvadékkal rendelkező hitelezőket,</w:t>
      </w:r>
      <w:r w:rsidRPr="00135823">
        <w:rPr>
          <w:rFonts w:ascii="Garamond" w:hAnsi="Garamond"/>
          <w:sz w:val="24"/>
          <w:szCs w:val="24"/>
        </w:rPr>
        <w:t xml:space="preserve"> és az értesítés teljesítését a felszámoló számára igazolni,</w:t>
      </w:r>
    </w:p>
    <w:p w:rsidR="00135823" w:rsidRPr="00135823" w:rsidRDefault="00135823" w:rsidP="00135823">
      <w:pPr>
        <w:spacing w:after="0" w:line="20" w:lineRule="atLeast"/>
        <w:jc w:val="both"/>
        <w:rPr>
          <w:rFonts w:ascii="Garamond" w:hAnsi="Garamond"/>
          <w:sz w:val="24"/>
          <w:szCs w:val="24"/>
        </w:rPr>
      </w:pPr>
    </w:p>
    <w:p w:rsidR="00135823" w:rsidRDefault="00135823" w:rsidP="00135823">
      <w:pPr>
        <w:spacing w:after="0" w:line="20" w:lineRule="atLeast"/>
        <w:jc w:val="both"/>
        <w:rPr>
          <w:rFonts w:ascii="Garamond" w:hAnsi="Garamond"/>
          <w:sz w:val="24"/>
          <w:szCs w:val="24"/>
        </w:rPr>
      </w:pPr>
      <w:r w:rsidRPr="00135823">
        <w:rPr>
          <w:rFonts w:ascii="Garamond" w:hAnsi="Garamond"/>
          <w:sz w:val="24"/>
          <w:szCs w:val="24"/>
        </w:rPr>
        <w:t>i)</w:t>
      </w:r>
      <w:r>
        <w:rPr>
          <w:rFonts w:ascii="Garamond" w:hAnsi="Garamond"/>
          <w:sz w:val="24"/>
          <w:szCs w:val="24"/>
        </w:rPr>
        <w:t xml:space="preserve"> </w:t>
      </w:r>
      <w:r w:rsidRPr="00135823">
        <w:rPr>
          <w:rFonts w:ascii="Garamond" w:hAnsi="Garamond"/>
          <w:sz w:val="24"/>
          <w:szCs w:val="24"/>
        </w:rPr>
        <w:t xml:space="preserve">a 26. § (5) bekezdésében meghatározott </w:t>
      </w:r>
      <w:r w:rsidRPr="00160317">
        <w:rPr>
          <w:rFonts w:ascii="Garamond" w:hAnsi="Garamond"/>
          <w:b/>
          <w:sz w:val="24"/>
          <w:szCs w:val="24"/>
        </w:rPr>
        <w:t>céltartalékképzési kötelezettség teljesítéséről</w:t>
      </w:r>
      <w:r w:rsidRPr="00135823">
        <w:rPr>
          <w:rFonts w:ascii="Garamond" w:hAnsi="Garamond"/>
          <w:sz w:val="24"/>
          <w:szCs w:val="24"/>
        </w:rPr>
        <w:t xml:space="preserve"> a felszámolót tájékoztatni,</w:t>
      </w:r>
    </w:p>
    <w:p w:rsidR="00AB7F4E" w:rsidRDefault="00AB7F4E" w:rsidP="00135823">
      <w:pPr>
        <w:spacing w:after="0" w:line="20" w:lineRule="atLeast"/>
        <w:jc w:val="both"/>
        <w:rPr>
          <w:rFonts w:ascii="Garamond" w:hAnsi="Garamond"/>
          <w:sz w:val="24"/>
          <w:szCs w:val="24"/>
        </w:rPr>
      </w:pP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Cstv. 26. § (5) bek. Az adós - a felszámolást elrendelő elsőfokú végzés kézhezvételét követően, a végzés jogerőre emelkedéséig - köteles céltartalékot képezni</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a) a 27. § (1a) bekezdés szerinti költségekre, valamint</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b) az iratanyagának rendezésével, kezelésével, tárolásával és elhelyezésével, számláinak vezetésével összefüggő díjakkal, valamint a vagyontárgyai őrzésével, állagmegóvásával kapcsolatos legszükségesebb kiadások fedezetére.</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(6) Az (5) bekezdés b) pontjában meghatározott költségekre a becsült költségekkel arányos, de legalább 150 000 forintot kell tartalékolni.</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(7) Az (5) és (6) bekezdésben meghatározott tartalékolási kötelezettség teljesítéséért az adós legalább többségi befolyást biztosító részesedéssel rendelkező tagja - egyéni cég esetén a tag, külföldi székhelyű vállalkozás magyarországi fióktelepe esetén a külföldi székhelyű vállalkozás - készfizető kezesként köteles helytállni.</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j) a felszámolás kezdő időpontját követő 30 napon belül a felszámoló számára dokumentumokkal alátámasztott kimutatást adni a gazdálkodó szervezet rendelkezése alatt álló azokról a vagyontárgyakról és egyéb eszközökről, amelyek a 4. § értelmében </w:t>
      </w:r>
      <w:r w:rsidRPr="00160317">
        <w:rPr>
          <w:rFonts w:ascii="Garamond" w:hAnsi="Garamond"/>
          <w:b/>
          <w:sz w:val="24"/>
          <w:szCs w:val="24"/>
        </w:rPr>
        <w:t>nem tartoznak a gazdálkodó szervezet vagyonába</w:t>
      </w:r>
      <w:r w:rsidRPr="00135823">
        <w:rPr>
          <w:rFonts w:ascii="Garamond" w:hAnsi="Garamond"/>
          <w:sz w:val="24"/>
          <w:szCs w:val="24"/>
        </w:rPr>
        <w:t>, továbbá ezeket a felszámoló számára rendelkezésre bocsátani.</w:t>
      </w:r>
    </w:p>
    <w:p w:rsidR="00135823" w:rsidRDefault="00135823" w:rsidP="00135823">
      <w:pPr>
        <w:spacing w:after="0" w:line="20" w:lineRule="atLeast"/>
        <w:jc w:val="both"/>
        <w:rPr>
          <w:rFonts w:ascii="Garamond" w:hAnsi="Garamond"/>
          <w:sz w:val="24"/>
          <w:szCs w:val="24"/>
        </w:rPr>
      </w:pP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Cstv. 4. § (3) Nem tartozik a gazdálkodó szervezet vagyonába:</w:t>
      </w:r>
    </w:p>
    <w:p w:rsidR="00AB7F4E" w:rsidRPr="00AB7F4E" w:rsidRDefault="00AB7F4E" w:rsidP="00AB7F4E">
      <w:pPr>
        <w:spacing w:after="0" w:line="20" w:lineRule="atLeast"/>
        <w:ind w:left="567"/>
        <w:jc w:val="both"/>
        <w:rPr>
          <w:rFonts w:ascii="Garamond" w:hAnsi="Garamond"/>
          <w:i/>
          <w:sz w:val="24"/>
          <w:szCs w:val="24"/>
        </w:rPr>
      </w:pP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 xml:space="preserve">a) a jogszabályban meghatározott természetvédelmi oltalom alatt álló földterület (nemzeti park, fokozottan védett terület, nemzetközi egyezmény hatálya alá tartozó terület), külön jogszabályban meghatározott nemzeti vagyonban lévő műemlék, valamint az olyan állami vagy önkormányzati tulajdonban álló vagyon, amely </w:t>
      </w:r>
      <w:r w:rsidRPr="00AB7F4E">
        <w:rPr>
          <w:rFonts w:ascii="Garamond" w:hAnsi="Garamond"/>
          <w:i/>
          <w:sz w:val="24"/>
          <w:szCs w:val="24"/>
        </w:rPr>
        <w:lastRenderedPageBreak/>
        <w:t>tekintetében a gazdálkodó szervezet jogszabály vagy szerződés alapján tulajdonosi jogokat, vagyonkezelői jogot vagy más, használatot biztosító jogot gyakorol, az említett vagyonkezelői jog és má</w:t>
      </w:r>
      <w:r>
        <w:rPr>
          <w:rFonts w:ascii="Garamond" w:hAnsi="Garamond"/>
          <w:i/>
          <w:sz w:val="24"/>
          <w:szCs w:val="24"/>
        </w:rPr>
        <w:t>s, a használatot biztosító jog,</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 xml:space="preserve">b) a vízitársulatok tulajdonában, vagyonkezelésében, használatában lévő vizek, vízilétesítmények és a vízitársulatoknak a közfeladatok ellátásához </w:t>
      </w:r>
      <w:r>
        <w:rPr>
          <w:rFonts w:ascii="Garamond" w:hAnsi="Garamond"/>
          <w:i/>
          <w:sz w:val="24"/>
          <w:szCs w:val="24"/>
        </w:rPr>
        <w:t>szükséges elkülönített vagyona;</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c) a kárpótlás céljára elkülönített föld, a törvényben meghatározott földalap és a kárpótlási árverésre kijelöléssel nem érintett, illetve a kárpótlási árver</w:t>
      </w:r>
      <w:r>
        <w:rPr>
          <w:rFonts w:ascii="Garamond" w:hAnsi="Garamond"/>
          <w:i/>
          <w:sz w:val="24"/>
          <w:szCs w:val="24"/>
        </w:rPr>
        <w:t>ésből visszamaradt földterület;</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 xml:space="preserve">d) a gazdálkodó szervezet vagyonából az az ingatlan, amely - a volt egyházi ingatlanok tulajdoni helyzetének rendezéséről szóló 1991. évi XXXII. törvény 7. § (1) bekezdésében foglaltak alapján - a Kormány által jóváhagyott </w:t>
      </w:r>
      <w:r>
        <w:rPr>
          <w:rFonts w:ascii="Garamond" w:hAnsi="Garamond"/>
          <w:i/>
          <w:sz w:val="24"/>
          <w:szCs w:val="24"/>
        </w:rPr>
        <w:t>jegyzékben szerepel;</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 xml:space="preserve">e) az adós munkavállalójának munkabéréből - külön jogszabály rendelkezései szerint - levont, valamint a csődeljárás, illetve a felszámolási eljárás tartama alatt levonásra kerülő szakszervezeti vagy </w:t>
      </w:r>
      <w:r>
        <w:rPr>
          <w:rFonts w:ascii="Garamond" w:hAnsi="Garamond"/>
          <w:i/>
          <w:sz w:val="24"/>
          <w:szCs w:val="24"/>
        </w:rPr>
        <w:t>egyéb érdek-képviseleti tagdíj,</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f) a munkavállaló munkabéréből jogszabály rendelkezései szerint a csődeljárás elrendelésének időpontjában vagy a felszámolási eljárás kezdő időpontjában már levont, d</w:t>
      </w:r>
      <w:r>
        <w:rPr>
          <w:rFonts w:ascii="Garamond" w:hAnsi="Garamond"/>
          <w:i/>
          <w:sz w:val="24"/>
          <w:szCs w:val="24"/>
        </w:rPr>
        <w:t>e még be nem fizetett közteher,</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g) a munkavállaló munkabéréből levont, de még ki nem fizetett tartásdíj és egyé</w:t>
      </w:r>
      <w:r>
        <w:rPr>
          <w:rFonts w:ascii="Garamond" w:hAnsi="Garamond"/>
          <w:i/>
          <w:sz w:val="24"/>
          <w:szCs w:val="24"/>
        </w:rPr>
        <w:t>b végrehajtás alá eső tartozás,</w:t>
      </w:r>
    </w:p>
    <w:p w:rsidR="00AB7F4E" w:rsidRPr="00AB7F4E" w:rsidRDefault="00AB7F4E" w:rsidP="00AB7F4E">
      <w:pPr>
        <w:spacing w:after="0" w:line="20" w:lineRule="atLeast"/>
        <w:ind w:left="567"/>
        <w:jc w:val="both"/>
        <w:rPr>
          <w:rFonts w:ascii="Garamond" w:hAnsi="Garamond"/>
          <w:i/>
          <w:sz w:val="24"/>
          <w:szCs w:val="24"/>
        </w:rPr>
      </w:pPr>
      <w:r w:rsidRPr="00AB7F4E">
        <w:rPr>
          <w:rFonts w:ascii="Garamond" w:hAnsi="Garamond"/>
          <w:i/>
          <w:sz w:val="24"/>
          <w:szCs w:val="24"/>
        </w:rPr>
        <w:t>h) az adós birtokában lévő olyan vagyontárgy, amelyre az eladó a tulajdonjogát a vételár teljes kiegyenlítéséig fenntartotta, ide nem értve, ha azt már az adós a vételár kiegyenlítése előtt jogszerűen - beépítéssel, feldolgozással vagy átalakítással - új vagyontárgy létrehozására felhasználta, és ezzel a vagyontárgy az új dolog elválaszthatatlan részévé vált.</w:t>
      </w:r>
    </w:p>
    <w:p w:rsidR="00AB7F4E" w:rsidRPr="00AB7F4E" w:rsidRDefault="00AB7F4E" w:rsidP="00AB7F4E">
      <w:pPr>
        <w:spacing w:after="0" w:line="20" w:lineRule="atLeast"/>
        <w:ind w:left="567"/>
        <w:jc w:val="both"/>
        <w:rPr>
          <w:rFonts w:ascii="Garamond" w:hAnsi="Garamond"/>
          <w:i/>
          <w:sz w:val="24"/>
          <w:szCs w:val="24"/>
        </w:rPr>
      </w:pP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(3) </w:t>
      </w:r>
      <w:r w:rsidRPr="00160317">
        <w:rPr>
          <w:rFonts w:ascii="Garamond" w:hAnsi="Garamond"/>
          <w:b/>
          <w:sz w:val="24"/>
          <w:szCs w:val="24"/>
        </w:rPr>
        <w:t xml:space="preserve">A felszámoló az e törvény szerinti feladatainak teljesítése érdekében az adós helyiségeibe beléphet, bármely vagyontárgyát átvizsgálhatja. </w:t>
      </w:r>
      <w:r w:rsidRPr="00135823">
        <w:rPr>
          <w:rFonts w:ascii="Garamond" w:hAnsi="Garamond"/>
          <w:sz w:val="24"/>
          <w:szCs w:val="24"/>
        </w:rPr>
        <w:t>Az adós a lezárt helyiségét, vagyontárgyát (bútorát, egyéb ingóságát) a felszámoló felhívására köteles haladéktalanul felnyitni, a vagyontárgy meglétéről és hollétéről tájékoztatást adni.</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60317">
        <w:rPr>
          <w:rFonts w:ascii="Garamond" w:hAnsi="Garamond"/>
          <w:b/>
          <w:sz w:val="24"/>
          <w:szCs w:val="24"/>
        </w:rPr>
        <w:t>33. §</w:t>
      </w:r>
      <w:r>
        <w:rPr>
          <w:rFonts w:ascii="Garamond" w:hAnsi="Garamond"/>
          <w:sz w:val="24"/>
          <w:szCs w:val="24"/>
        </w:rPr>
        <w:t xml:space="preserve"> (1)</w:t>
      </w:r>
      <w:r w:rsidRPr="00135823">
        <w:rPr>
          <w:rFonts w:ascii="Garamond" w:hAnsi="Garamond"/>
          <w:sz w:val="24"/>
          <w:szCs w:val="24"/>
        </w:rPr>
        <w:t xml:space="preserve"> </w:t>
      </w:r>
      <w:r w:rsidRPr="00160317">
        <w:rPr>
          <w:rFonts w:ascii="Garamond" w:hAnsi="Garamond"/>
          <w:b/>
          <w:sz w:val="24"/>
          <w:szCs w:val="24"/>
        </w:rPr>
        <w:t>A bíróság az adott gazdálkodó szervezettől a felszámolás kezdő időpontját megelőző évben felvett bevételének 50%-áig vagy - ha a vezető bevétele nem állapítható meg - 2 000 000 forintig terjedő pénzbírsággal sújthatja a gazdálkodó szervezet vezetőjét</w:t>
      </w:r>
      <w:r w:rsidRPr="00135823">
        <w:rPr>
          <w:rFonts w:ascii="Garamond" w:hAnsi="Garamond"/>
          <w:sz w:val="24"/>
          <w:szCs w:val="24"/>
        </w:rPr>
        <w:t>, aki a 31. §-ban foglalt kötelezettségét elmulasztotta, vagy azt késedelmesen teljesíti, valótlan adatokat közölt, a felszámolóval való együttműködési kötelezettségét nem teljesíti. A bírság akkor is kiszabható, ha a vezető már nem áll az adósnál munkaviszonyban, munkavégzési kötelezettséggel járó egyéb jogviszonyban, tagsági viszonyban, vagy vezetői tisztségviselői (cégvezetői) minősége megszűnt. Ha a gazdálkodó szervezet vezetője a 31. § szerinti kötelezettségeit, továbbá a felszámolóval való együttműködési kötelezettségét nem teljesíti, a felszámoló az iratokat a bírósági végrehajtásról szóló 1994. évi LIII. törvény 31/D. §-a szerinti végrehajtói kézbesítés útján is eljuttathatja.</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 xml:space="preserve">(2) Az (1) bekezdésben említett vezetőt a bíróság kötelezheti, hogy viselje azokat a költségeket is, amelyek a 31. §-ban foglalt feladatoknak a felszámoló részéről megbízott szakértő által történő elvégeztetésével, valamint a külön jogszabály szerinti végrehajtói kézbesítéssel merültek fel. A kötelezettség teljesítésére és a bírság kiszabására figyelmeztető végzést, valamint az (1) bekezdésben meghatározott bírságot kiszabó és a költségek megtérítésére vonatkozó végzést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 a bírság kiszabásának alapjául szolgáló cselekmény vagy mulasztás idején az említett mértékű részesedéssel rendelkezett. Az említett tag, illetőleg a külföldi székhelyű vállalkozás a bírság megfizetéséért behajthatatlanság esetén kezesként felel. A külföldi </w:t>
      </w:r>
      <w:r w:rsidRPr="00135823">
        <w:rPr>
          <w:rFonts w:ascii="Garamond" w:hAnsi="Garamond"/>
          <w:sz w:val="24"/>
          <w:szCs w:val="24"/>
        </w:rPr>
        <w:lastRenderedPageBreak/>
        <w:t>székhelyű vállalkozás az említett kezesi kötelezettségéből eredő fizetési kötelezettségét nem teljesítheti a fióktelepe rendelkezésére bocsátott vagyonból.</w:t>
      </w:r>
    </w:p>
    <w:p w:rsidR="00135823" w:rsidRPr="00135823" w:rsidRDefault="00160317" w:rsidP="00135823">
      <w:pPr>
        <w:spacing w:after="0" w:line="20" w:lineRule="atLeast"/>
        <w:jc w:val="both"/>
        <w:rPr>
          <w:rFonts w:ascii="Garamond" w:hAnsi="Garamond"/>
          <w:sz w:val="24"/>
          <w:szCs w:val="24"/>
        </w:rPr>
      </w:pPr>
      <w:r>
        <w:rPr>
          <w:rFonts w:ascii="Garamond" w:hAnsi="Garamond"/>
          <w:sz w:val="24"/>
          <w:szCs w:val="24"/>
        </w:rPr>
        <w: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60317">
        <w:rPr>
          <w:rFonts w:ascii="Garamond" w:hAnsi="Garamond"/>
          <w:b/>
          <w:sz w:val="24"/>
          <w:szCs w:val="24"/>
        </w:rPr>
        <w:t>33/A. §</w:t>
      </w:r>
      <w:r w:rsidRPr="00135823">
        <w:rPr>
          <w:rFonts w:ascii="Garamond" w:hAnsi="Garamond"/>
          <w:sz w:val="24"/>
          <w:szCs w:val="24"/>
        </w:rPr>
        <w:t xml:space="preserve"> (1) A hitelező vagy - az adós nevében - a felszámoló a felszámolási eljárás alatt keresettel kérheti a 6. § szerint illetékes bíróságtól annak megállapítását, hogy azok, akik a gazdálkodó szervezet vezetői voltak a felszámolás kezdő időpontját megelőző három évben, a fizetésképtelenséggel fenyegető helyzet bekövetkeztét követően a vezetői feladataikat nem a hitelezők érdekeinek figyelembevételével látták el, és ezzel okozati összefüggésben a gazdálkodó szervezet vagyona csökkent, vagy a hitelezők követeléseinek teljes mértékben történő kielégítése más okból meghiúsulhat. E bekezdés alkalmazásában a hitelezői érdekeket figyelmen kívül hagyó tevékenységnek minősül az is, ha a vezető elmulasztotta a környezetkárosodás megelőzésére, a környezetkárosítás abbahagyására, illetve a kármentesítésre vonatkozó, jogszabályban meghatározott kötelezettségeket, és ennek következtében a hitelezők követeléseinek teljes mértékben történő kielégítése meghiúsulhat. Ha többen közösen okoztak kárt, felelősségük egyetemleges.</w:t>
      </w:r>
    </w:p>
    <w:p w:rsidR="00135823" w:rsidRPr="00135823" w:rsidRDefault="00135823" w:rsidP="00135823">
      <w:pPr>
        <w:spacing w:after="0" w:line="20" w:lineRule="atLeast"/>
        <w:jc w:val="both"/>
        <w:rPr>
          <w:rFonts w:ascii="Garamond" w:hAnsi="Garamond"/>
          <w:sz w:val="24"/>
          <w:szCs w:val="24"/>
        </w:rPr>
      </w:pPr>
    </w:p>
    <w:p w:rsidR="00135823" w:rsidRDefault="00135823" w:rsidP="00135823">
      <w:pPr>
        <w:spacing w:after="0" w:line="20" w:lineRule="atLeast"/>
        <w:jc w:val="both"/>
        <w:rPr>
          <w:rFonts w:ascii="Garamond" w:hAnsi="Garamond"/>
          <w:sz w:val="24"/>
          <w:szCs w:val="24"/>
        </w:rPr>
      </w:pPr>
      <w:r w:rsidRPr="00135823">
        <w:rPr>
          <w:rFonts w:ascii="Garamond" w:hAnsi="Garamond"/>
          <w:sz w:val="24"/>
          <w:szCs w:val="24"/>
        </w:rPr>
        <w:t>(2) A gazdálkodó szervezet vezetőjének minősül az a személy is, aki a gazdálkodó szervezet döntéseinek meghozatalára ténylegesen meghatározó befolyást gyakorolt.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(3) A fizetésképtelenséggel fenyegető helyzet bekövetkezte az az időpont, amelytől kezdve a gazdálkodó szervezet vezetői előre látták vagy az ilyen tisztséget betöltő személytől elvárható gondosság mellett látniuk kellett, hogy a gazdálkodó szervezet nem lesz képes esedékességkor kielégíteni a vele szemben fennálló követeléseket.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(4) Mentesül a felelősség alól a vezető, ha bizonyítja, hogy a fizetésképtelenséggel fenyegető helyzet bekövetkeztét követően nem vállalt az adós pénzügyi helyzetéhez képest indokolatlan üzleti kockázatot, illetve az adott helyzetben az ilyen tisztséget betöltő személytől elvárható valamennyi intézkedést megtette a hitelezői veszteségek elkerülése, csökkentése, továbbá az adós gazdálkodó szervezet legfőbb szerve (döntéshozó szerve) intézkedéseinek kezdeményezése érdekében.</w:t>
      </w:r>
    </w:p>
    <w:p w:rsid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60317">
        <w:rPr>
          <w:rFonts w:ascii="Garamond" w:hAnsi="Garamond"/>
          <w:sz w:val="24"/>
          <w:szCs w:val="24"/>
        </w:rPr>
        <w:t>(5) Amennyiben a vezető a felszámolás kezdő időpontját megelőzően neki felróhatóan nem vagy nem megfelelően tett eleget a gazdálkodó szervezet éves beszámolója [összevont</w:t>
      </w:r>
      <w:r w:rsidRPr="00135823">
        <w:rPr>
          <w:rFonts w:ascii="Garamond" w:hAnsi="Garamond"/>
          <w:sz w:val="24"/>
          <w:szCs w:val="24"/>
        </w:rPr>
        <w:t xml:space="preserve"> (konszolidált) éves beszámolója] külön jogszabályban meghatározott letétbe helyezési és közzétételi kötelezettségének, vagy nem teljesíti a 31. § (1) bekezdés a)-d) pontja szerinti beszámolókészítési, irat- és vagyonátadási, továbbá tájékoztatási kötelezettségét, neki kell bizonyítania, hogy a vezetői tisztségének időtartama alatt nem következett be fizetésképtelenséggel fenyegető helyzet, vagy ha ilyen körülmény fennállt, a vezetési feladatai ellátása során a hitelező</w:t>
      </w:r>
      <w:r>
        <w:rPr>
          <w:rFonts w:ascii="Garamond" w:hAnsi="Garamond"/>
          <w:sz w:val="24"/>
          <w:szCs w:val="24"/>
        </w:rPr>
        <w:t>k érdekeit is figyelembe vette.</w:t>
      </w:r>
    </w:p>
    <w:p w:rsidR="00135823" w:rsidRDefault="00135823" w:rsidP="00135823">
      <w:pPr>
        <w:spacing w:after="0" w:line="20" w:lineRule="atLeast"/>
        <w:jc w:val="both"/>
        <w:rPr>
          <w:rFonts w:ascii="Garamond" w:hAnsi="Garamond"/>
          <w:sz w:val="24"/>
          <w:szCs w:val="24"/>
        </w:rPr>
      </w:pPr>
      <w:r>
        <w:rPr>
          <w:rFonts w:ascii="Garamond" w:hAnsi="Garamond"/>
          <w:sz w:val="24"/>
          <w:szCs w:val="24"/>
        </w:rPr>
        <w:t>…</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(11) A felszámolási eljárás jogerős lezárásáról hozott határozat Cégközlönyben való közzétételét követő 90 napos jogvesztő határidőn belül bármely hitelező keresettel kérheti a 6. § szerint illetékes bíróságtól, hogy az (1) bekezdés szerinti perben jogerősen megállapított felelősség alapján, az okozott vagyoni hátrány mértékéig kötelezze az adós volt vezetőjét a felszámolási eljárásban nyilvántartásba vett, de ott meg nem térült követelésének kifizetésére.</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(12) Ha a felszámolási eljárás jogerős lezárásáig az (1) bekezdés szerinti megállapítási perben még nincs jogerős határozat, a 90 napos jogvesztő határidő kezdő napja a bírósági határozat jogerőre e</w:t>
      </w:r>
      <w:r>
        <w:rPr>
          <w:rFonts w:ascii="Garamond" w:hAnsi="Garamond"/>
          <w:sz w:val="24"/>
          <w:szCs w:val="24"/>
        </w:rPr>
        <w:t>melkedésének napját követő nap.</w:t>
      </w:r>
    </w:p>
    <w:p w:rsidR="00135823" w:rsidRDefault="00135823" w:rsidP="00135823">
      <w:pPr>
        <w:spacing w:after="0" w:line="20" w:lineRule="atLeast"/>
        <w:jc w:val="both"/>
        <w:rPr>
          <w:rFonts w:ascii="Garamond" w:hAnsi="Garamond"/>
          <w:sz w:val="24"/>
          <w:szCs w:val="24"/>
        </w:rPr>
      </w:pPr>
      <w:r>
        <w:rPr>
          <w:rFonts w:ascii="Garamond" w:hAnsi="Garamond"/>
          <w:sz w:val="24"/>
          <w:szCs w:val="24"/>
        </w:rPr>
        <w:t>…</w:t>
      </w:r>
    </w:p>
    <w:p w:rsidR="00135823" w:rsidRPr="00135823" w:rsidRDefault="00135823" w:rsidP="00135823">
      <w:pPr>
        <w:spacing w:after="0" w:line="20" w:lineRule="atLeast"/>
        <w:jc w:val="both"/>
        <w:rPr>
          <w:rFonts w:ascii="Garamond" w:hAnsi="Garamond"/>
          <w:sz w:val="24"/>
          <w:szCs w:val="24"/>
        </w:rPr>
      </w:pPr>
    </w:p>
    <w:p w:rsidR="00135823" w:rsidRPr="00160317" w:rsidRDefault="00135823" w:rsidP="00135823">
      <w:pPr>
        <w:spacing w:after="0" w:line="20" w:lineRule="atLeast"/>
        <w:jc w:val="both"/>
        <w:rPr>
          <w:rFonts w:ascii="Garamond" w:hAnsi="Garamond"/>
          <w:b/>
          <w:sz w:val="24"/>
          <w:szCs w:val="24"/>
        </w:rPr>
      </w:pPr>
      <w:r w:rsidRPr="00160317">
        <w:rPr>
          <w:rFonts w:ascii="Garamond" w:hAnsi="Garamond"/>
          <w:b/>
          <w:sz w:val="24"/>
          <w:szCs w:val="24"/>
        </w:rPr>
        <w:lastRenderedPageBreak/>
        <w:t>34. §</w:t>
      </w:r>
      <w:r w:rsidRPr="00135823">
        <w:rPr>
          <w:rFonts w:ascii="Garamond" w:hAnsi="Garamond"/>
          <w:sz w:val="24"/>
          <w:szCs w:val="24"/>
        </w:rPr>
        <w:t xml:space="preserve"> (1) </w:t>
      </w:r>
      <w:r w:rsidRPr="00160317">
        <w:rPr>
          <w:rFonts w:ascii="Garamond" w:hAnsi="Garamond"/>
          <w:b/>
          <w:sz w:val="24"/>
          <w:szCs w:val="24"/>
        </w:rPr>
        <w:t>A felszámolás kezdő időpontjában megszűnnek a tulajdonosnak a gazdálkodó szervezettel kapcsolatos külön jogszabályokban meghatározott jogai.</w:t>
      </w:r>
    </w:p>
    <w:p w:rsidR="00135823" w:rsidRPr="00135823" w:rsidRDefault="00135823" w:rsidP="00135823">
      <w:pPr>
        <w:spacing w:after="0" w:line="20" w:lineRule="atLeast"/>
        <w:jc w:val="both"/>
        <w:rPr>
          <w:rFonts w:ascii="Garamond" w:hAnsi="Garamond"/>
          <w:sz w:val="24"/>
          <w:szCs w:val="24"/>
        </w:rPr>
      </w:pPr>
    </w:p>
    <w:p w:rsidR="00135823" w:rsidRPr="00135823" w:rsidRDefault="00135823" w:rsidP="00135823">
      <w:pPr>
        <w:spacing w:after="0" w:line="20" w:lineRule="atLeast"/>
        <w:jc w:val="both"/>
        <w:rPr>
          <w:rFonts w:ascii="Garamond" w:hAnsi="Garamond"/>
          <w:sz w:val="24"/>
          <w:szCs w:val="24"/>
        </w:rPr>
      </w:pPr>
      <w:r w:rsidRPr="00135823">
        <w:rPr>
          <w:rFonts w:ascii="Garamond" w:hAnsi="Garamond"/>
          <w:sz w:val="24"/>
          <w:szCs w:val="24"/>
        </w:rPr>
        <w:t>(2)</w:t>
      </w:r>
      <w:r>
        <w:rPr>
          <w:rFonts w:ascii="Garamond" w:hAnsi="Garamond"/>
          <w:sz w:val="24"/>
          <w:szCs w:val="24"/>
        </w:rPr>
        <w:t xml:space="preserve"> </w:t>
      </w:r>
      <w:r w:rsidRPr="00160317">
        <w:rPr>
          <w:rFonts w:ascii="Garamond" w:hAnsi="Garamond"/>
          <w:b/>
          <w:sz w:val="24"/>
          <w:szCs w:val="24"/>
        </w:rPr>
        <w:t>A felszámolás kezdő időpontjától a gazdálkodó szervezet vagyonával kapcsolatos jognyilatkozatot csak a felszámoló tehet.</w:t>
      </w:r>
      <w:r w:rsidRPr="00135823">
        <w:rPr>
          <w:rFonts w:ascii="Garamond" w:hAnsi="Garamond"/>
          <w:sz w:val="24"/>
          <w:szCs w:val="24"/>
        </w:rPr>
        <w:t xml:space="preserve"> A felszámolás kezdő időpontjától az adós cég nevét a „felszámolás alatt” („f. a.”) toldattal kiegészítve kell használni. A felszámolónak haladéktalanul be kell jelentenie az adós számláit vezető pénzforgalmi szolgáltatóknak a kijelölését tartalmazó jogerős végzést, és hitelt érdemlő módon igazolt aláírását.</w:t>
      </w:r>
    </w:p>
    <w:p w:rsidR="00135823" w:rsidRPr="00135823" w:rsidRDefault="00160317" w:rsidP="00135823">
      <w:pPr>
        <w:spacing w:after="0" w:line="20" w:lineRule="atLeast"/>
        <w:jc w:val="both"/>
        <w:rPr>
          <w:rFonts w:ascii="Garamond" w:hAnsi="Garamond"/>
          <w:sz w:val="24"/>
          <w:szCs w:val="24"/>
        </w:rPr>
      </w:pPr>
      <w:r>
        <w:rPr>
          <w:rFonts w:ascii="Garamond" w:hAnsi="Garamond"/>
          <w:sz w:val="24"/>
          <w:szCs w:val="24"/>
        </w:rPr>
        <w:t>…</w:t>
      </w:r>
    </w:p>
    <w:p w:rsidR="00135823" w:rsidRPr="00135823" w:rsidRDefault="00135823" w:rsidP="00135823">
      <w:pPr>
        <w:spacing w:after="0" w:line="20" w:lineRule="atLeast"/>
        <w:jc w:val="both"/>
        <w:rPr>
          <w:rFonts w:ascii="Garamond" w:hAnsi="Garamond"/>
          <w:sz w:val="24"/>
          <w:szCs w:val="24"/>
        </w:rPr>
      </w:pPr>
    </w:p>
    <w:p w:rsidR="0017529E" w:rsidRDefault="004C6F1B" w:rsidP="00135823">
      <w:pPr>
        <w:spacing w:after="0" w:line="20" w:lineRule="atLeast"/>
        <w:jc w:val="both"/>
        <w:rPr>
          <w:rFonts w:ascii="Garamond" w:hAnsi="Garamond"/>
          <w:sz w:val="24"/>
          <w:szCs w:val="24"/>
        </w:rPr>
      </w:pPr>
    </w:p>
    <w:p w:rsidR="004C40D0" w:rsidRPr="004C40D0" w:rsidRDefault="004C40D0" w:rsidP="004C40D0">
      <w:pPr>
        <w:spacing w:after="0" w:line="20" w:lineRule="atLeast"/>
        <w:jc w:val="both"/>
        <w:rPr>
          <w:rFonts w:ascii="Garamond" w:hAnsi="Garamond"/>
          <w:b/>
          <w:sz w:val="24"/>
          <w:szCs w:val="24"/>
        </w:rPr>
      </w:pPr>
      <w:r w:rsidRPr="004C40D0">
        <w:rPr>
          <w:rFonts w:ascii="Garamond" w:hAnsi="Garamond"/>
          <w:b/>
          <w:sz w:val="24"/>
          <w:szCs w:val="24"/>
        </w:rPr>
        <w:t>Cstv. 63/B. §</w:t>
      </w:r>
      <w:r>
        <w:rPr>
          <w:rFonts w:ascii="Garamond" w:hAnsi="Garamond"/>
          <w:sz w:val="24"/>
          <w:szCs w:val="24"/>
        </w:rPr>
        <w:t xml:space="preserve"> </w:t>
      </w:r>
      <w:r w:rsidRPr="004C40D0">
        <w:rPr>
          <w:rFonts w:ascii="Garamond" w:hAnsi="Garamond"/>
          <w:sz w:val="24"/>
          <w:szCs w:val="24"/>
        </w:rPr>
        <w:t xml:space="preserve">(6) </w:t>
      </w:r>
      <w:r w:rsidRPr="004C40D0">
        <w:rPr>
          <w:rFonts w:ascii="Garamond" w:hAnsi="Garamond"/>
          <w:b/>
          <w:sz w:val="24"/>
          <w:szCs w:val="24"/>
        </w:rPr>
        <w:t>A bíróság</w:t>
      </w:r>
      <w:r w:rsidRPr="004C40D0">
        <w:rPr>
          <w:rFonts w:ascii="Garamond" w:hAnsi="Garamond"/>
          <w:sz w:val="24"/>
          <w:szCs w:val="24"/>
        </w:rPr>
        <w:t xml:space="preserve"> a (4) bekezdés szerinti végzésben </w:t>
      </w:r>
      <w:r w:rsidRPr="004C40D0">
        <w:rPr>
          <w:rFonts w:ascii="Garamond" w:hAnsi="Garamond"/>
          <w:b/>
          <w:sz w:val="24"/>
          <w:szCs w:val="24"/>
        </w:rPr>
        <w:t>az adós gazdálkodó szervezet vezetőjét</w:t>
      </w:r>
    </w:p>
    <w:p w:rsidR="004C40D0" w:rsidRPr="004C40D0" w:rsidRDefault="004C40D0" w:rsidP="004C40D0">
      <w:pPr>
        <w:spacing w:after="0" w:line="20" w:lineRule="atLeast"/>
        <w:jc w:val="both"/>
        <w:rPr>
          <w:rFonts w:ascii="Garamond" w:hAnsi="Garamond"/>
          <w:b/>
          <w:sz w:val="24"/>
          <w:szCs w:val="24"/>
        </w:rPr>
      </w:pPr>
      <w:r w:rsidRPr="004C40D0">
        <w:rPr>
          <w:rFonts w:ascii="Garamond" w:hAnsi="Garamond"/>
          <w:sz w:val="24"/>
          <w:szCs w:val="24"/>
        </w:rPr>
        <w:t xml:space="preserve">a) </w:t>
      </w:r>
      <w:r w:rsidRPr="004C40D0">
        <w:rPr>
          <w:rFonts w:ascii="Garamond" w:hAnsi="Garamond"/>
          <w:b/>
          <w:sz w:val="24"/>
          <w:szCs w:val="24"/>
        </w:rPr>
        <w:t>hivatalból az 59. § (5) bekezdés alapján kifizetésre kerülő felszámolói díj állam javára történő megtérítésére,</w:t>
      </w:r>
    </w:p>
    <w:p w:rsidR="004C40D0" w:rsidRPr="004C40D0" w:rsidRDefault="004C40D0" w:rsidP="004C40D0">
      <w:pPr>
        <w:spacing w:after="0" w:line="20" w:lineRule="atLeast"/>
        <w:jc w:val="both"/>
        <w:rPr>
          <w:rFonts w:ascii="Garamond" w:hAnsi="Garamond"/>
          <w:b/>
          <w:sz w:val="24"/>
          <w:szCs w:val="24"/>
        </w:rPr>
      </w:pPr>
      <w:r w:rsidRPr="004C40D0">
        <w:rPr>
          <w:rFonts w:ascii="Garamond" w:hAnsi="Garamond"/>
          <w:sz w:val="24"/>
          <w:szCs w:val="24"/>
        </w:rPr>
        <w:t xml:space="preserve">b) </w:t>
      </w:r>
      <w:r w:rsidRPr="004C40D0">
        <w:rPr>
          <w:rFonts w:ascii="Garamond" w:hAnsi="Garamond"/>
          <w:b/>
          <w:sz w:val="24"/>
          <w:szCs w:val="24"/>
        </w:rPr>
        <w:t>a felszámolási eljárást kezdeményező hitelező részére</w:t>
      </w:r>
      <w:r w:rsidRPr="004C40D0">
        <w:rPr>
          <w:rFonts w:ascii="Garamond" w:hAnsi="Garamond"/>
          <w:sz w:val="24"/>
          <w:szCs w:val="24"/>
        </w:rPr>
        <w:t xml:space="preserve"> - a (4) bekezdés szerinti végzés meghozatalát megelőzően benyújtott kérelmére - </w:t>
      </w:r>
      <w:r w:rsidRPr="004C40D0">
        <w:rPr>
          <w:rFonts w:ascii="Garamond" w:hAnsi="Garamond"/>
          <w:b/>
          <w:sz w:val="24"/>
          <w:szCs w:val="24"/>
        </w:rPr>
        <w:t>a hitelező által megfizetett és a 27. § (1a) bekezdése alapján a felszámolási eljárásban meg nem térült illeték és közzétételi költségtérítés megtérítésére, valamint</w:t>
      </w:r>
    </w:p>
    <w:p w:rsidR="004C40D0" w:rsidRPr="004C40D0" w:rsidRDefault="004C40D0" w:rsidP="004C40D0">
      <w:pPr>
        <w:spacing w:after="0" w:line="20" w:lineRule="atLeast"/>
        <w:jc w:val="both"/>
        <w:rPr>
          <w:rFonts w:ascii="Garamond" w:hAnsi="Garamond"/>
          <w:b/>
          <w:sz w:val="24"/>
          <w:szCs w:val="24"/>
        </w:rPr>
      </w:pPr>
      <w:r w:rsidRPr="004C40D0">
        <w:rPr>
          <w:rFonts w:ascii="Garamond" w:hAnsi="Garamond"/>
          <w:sz w:val="24"/>
          <w:szCs w:val="24"/>
        </w:rPr>
        <w:t xml:space="preserve">c) a felszámoló kérelmére a felszámolót </w:t>
      </w:r>
      <w:r w:rsidRPr="004C40D0">
        <w:rPr>
          <w:rFonts w:ascii="Garamond" w:hAnsi="Garamond"/>
          <w:b/>
          <w:sz w:val="24"/>
          <w:szCs w:val="24"/>
        </w:rPr>
        <w:t>- az egyszerűsített felszámolási eljárásban megillető - 300 000 forint és a felszámolónak az 59. § (5) bekezdés alapján kifizetett összeg különbözetének a felszámoló részére történő megtérítésére</w:t>
      </w:r>
    </w:p>
    <w:p w:rsidR="004C40D0" w:rsidRPr="004C40D0" w:rsidRDefault="004C40D0" w:rsidP="004C40D0">
      <w:pPr>
        <w:spacing w:after="0" w:line="20" w:lineRule="atLeast"/>
        <w:jc w:val="both"/>
        <w:rPr>
          <w:rFonts w:ascii="Garamond" w:hAnsi="Garamond"/>
          <w:b/>
          <w:sz w:val="24"/>
          <w:szCs w:val="24"/>
        </w:rPr>
      </w:pPr>
      <w:r w:rsidRPr="004C40D0">
        <w:rPr>
          <w:rFonts w:ascii="Garamond" w:hAnsi="Garamond"/>
          <w:b/>
          <w:sz w:val="24"/>
          <w:szCs w:val="24"/>
        </w:rPr>
        <w:t>kötelezi</w:t>
      </w:r>
      <w:r w:rsidRPr="004C40D0">
        <w:rPr>
          <w:rFonts w:ascii="Garamond" w:hAnsi="Garamond"/>
          <w:sz w:val="24"/>
          <w:szCs w:val="24"/>
        </w:rPr>
        <w:t xml:space="preserve">, </w:t>
      </w:r>
      <w:r w:rsidRPr="004C40D0">
        <w:rPr>
          <w:rFonts w:ascii="Garamond" w:hAnsi="Garamond"/>
          <w:b/>
          <w:sz w:val="24"/>
          <w:szCs w:val="24"/>
        </w:rPr>
        <w:t>ha az egyszerűsített felszámolási eljárásra a könyvvezetés, illetve a nyilvántartások hiányosságai miatt került sor, vagy ha a vezető tisztségviselő a cég felszámolását megelőző három év közül bármelyikben neki felróható okból nem tett eleget az éves beszámoló, az egyszerűsített éves beszámoló</w:t>
      </w:r>
      <w:r w:rsidRPr="004C40D0">
        <w:rPr>
          <w:rFonts w:ascii="Garamond" w:hAnsi="Garamond"/>
          <w:sz w:val="24"/>
          <w:szCs w:val="24"/>
        </w:rPr>
        <w:t xml:space="preserve">, az összevont (konszolidált) éves beszámoló külön jogszabályban meghatározott </w:t>
      </w:r>
      <w:r w:rsidRPr="004C40D0">
        <w:rPr>
          <w:rFonts w:ascii="Garamond" w:hAnsi="Garamond"/>
          <w:b/>
          <w:sz w:val="24"/>
          <w:szCs w:val="24"/>
        </w:rPr>
        <w:t>letétbehelyezési és közzétételi kötelezettségének.</w:t>
      </w:r>
    </w:p>
    <w:sectPr w:rsidR="004C40D0" w:rsidRPr="004C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00"/>
    <w:rsid w:val="00025CB0"/>
    <w:rsid w:val="00104438"/>
    <w:rsid w:val="00135823"/>
    <w:rsid w:val="00142B16"/>
    <w:rsid w:val="00160317"/>
    <w:rsid w:val="002C6E9B"/>
    <w:rsid w:val="003B3117"/>
    <w:rsid w:val="00400A9D"/>
    <w:rsid w:val="004368DD"/>
    <w:rsid w:val="0045711C"/>
    <w:rsid w:val="00470B3B"/>
    <w:rsid w:val="004C40D0"/>
    <w:rsid w:val="004C6F1B"/>
    <w:rsid w:val="006A12E0"/>
    <w:rsid w:val="00771700"/>
    <w:rsid w:val="007722D8"/>
    <w:rsid w:val="00785051"/>
    <w:rsid w:val="007C4E7B"/>
    <w:rsid w:val="007E56AA"/>
    <w:rsid w:val="007F5AA7"/>
    <w:rsid w:val="008740D8"/>
    <w:rsid w:val="008C6A9F"/>
    <w:rsid w:val="00954EAA"/>
    <w:rsid w:val="009C6A6C"/>
    <w:rsid w:val="009D65E9"/>
    <w:rsid w:val="009F4199"/>
    <w:rsid w:val="00AB7F4E"/>
    <w:rsid w:val="00AC69E0"/>
    <w:rsid w:val="00C42FF2"/>
    <w:rsid w:val="00C73D29"/>
    <w:rsid w:val="00C80180"/>
    <w:rsid w:val="00CC6184"/>
    <w:rsid w:val="00D036E3"/>
    <w:rsid w:val="00D915A1"/>
    <w:rsid w:val="00DD6939"/>
    <w:rsid w:val="00E71541"/>
    <w:rsid w:val="00F24B81"/>
    <w:rsid w:val="00F36FCD"/>
    <w:rsid w:val="00FD12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626"/>
  <w15:chartTrackingRefBased/>
  <w15:docId w15:val="{4F6172E8-7A2F-4FE0-882E-FA972990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599">
      <w:bodyDiv w:val="1"/>
      <w:marLeft w:val="0"/>
      <w:marRight w:val="0"/>
      <w:marTop w:val="0"/>
      <w:marBottom w:val="0"/>
      <w:divBdr>
        <w:top w:val="none" w:sz="0" w:space="0" w:color="auto"/>
        <w:left w:val="none" w:sz="0" w:space="0" w:color="auto"/>
        <w:bottom w:val="none" w:sz="0" w:space="0" w:color="auto"/>
        <w:right w:val="none" w:sz="0" w:space="0" w:color="auto"/>
      </w:divBdr>
      <w:divsChild>
        <w:div w:id="2092123171">
          <w:marLeft w:val="0"/>
          <w:marRight w:val="0"/>
          <w:marTop w:val="0"/>
          <w:marBottom w:val="0"/>
          <w:divBdr>
            <w:top w:val="none" w:sz="0" w:space="0" w:color="auto"/>
            <w:left w:val="none" w:sz="0" w:space="0" w:color="auto"/>
            <w:bottom w:val="none" w:sz="0" w:space="0" w:color="auto"/>
            <w:right w:val="none" w:sz="0" w:space="0" w:color="auto"/>
          </w:divBdr>
          <w:divsChild>
            <w:div w:id="817184832">
              <w:marLeft w:val="0"/>
              <w:marRight w:val="0"/>
              <w:marTop w:val="0"/>
              <w:marBottom w:val="0"/>
              <w:divBdr>
                <w:top w:val="none" w:sz="0" w:space="0" w:color="auto"/>
                <w:left w:val="none" w:sz="0" w:space="0" w:color="auto"/>
                <w:bottom w:val="none" w:sz="0" w:space="0" w:color="auto"/>
                <w:right w:val="none" w:sz="0" w:space="0" w:color="auto"/>
              </w:divBdr>
              <w:divsChild>
                <w:div w:id="3074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20541">
      <w:bodyDiv w:val="1"/>
      <w:marLeft w:val="0"/>
      <w:marRight w:val="0"/>
      <w:marTop w:val="0"/>
      <w:marBottom w:val="0"/>
      <w:divBdr>
        <w:top w:val="none" w:sz="0" w:space="0" w:color="auto"/>
        <w:left w:val="none" w:sz="0" w:space="0" w:color="auto"/>
        <w:bottom w:val="none" w:sz="0" w:space="0" w:color="auto"/>
        <w:right w:val="none" w:sz="0" w:space="0" w:color="auto"/>
      </w:divBdr>
      <w:divsChild>
        <w:div w:id="1302228807">
          <w:marLeft w:val="0"/>
          <w:marRight w:val="0"/>
          <w:marTop w:val="0"/>
          <w:marBottom w:val="0"/>
          <w:divBdr>
            <w:top w:val="none" w:sz="0" w:space="0" w:color="auto"/>
            <w:left w:val="none" w:sz="0" w:space="0" w:color="auto"/>
            <w:bottom w:val="none" w:sz="0" w:space="0" w:color="auto"/>
            <w:right w:val="none" w:sz="0" w:space="0" w:color="auto"/>
          </w:divBdr>
          <w:divsChild>
            <w:div w:id="268438154">
              <w:marLeft w:val="0"/>
              <w:marRight w:val="0"/>
              <w:marTop w:val="0"/>
              <w:marBottom w:val="0"/>
              <w:divBdr>
                <w:top w:val="none" w:sz="0" w:space="0" w:color="auto"/>
                <w:left w:val="none" w:sz="0" w:space="0" w:color="auto"/>
                <w:bottom w:val="none" w:sz="0" w:space="0" w:color="auto"/>
                <w:right w:val="none" w:sz="0" w:space="0" w:color="auto"/>
              </w:divBdr>
              <w:divsChild>
                <w:div w:id="20330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8551">
      <w:bodyDiv w:val="1"/>
      <w:marLeft w:val="0"/>
      <w:marRight w:val="0"/>
      <w:marTop w:val="0"/>
      <w:marBottom w:val="0"/>
      <w:divBdr>
        <w:top w:val="none" w:sz="0" w:space="0" w:color="auto"/>
        <w:left w:val="none" w:sz="0" w:space="0" w:color="auto"/>
        <w:bottom w:val="none" w:sz="0" w:space="0" w:color="auto"/>
        <w:right w:val="none" w:sz="0" w:space="0" w:color="auto"/>
      </w:divBdr>
      <w:divsChild>
        <w:div w:id="1200699074">
          <w:marLeft w:val="0"/>
          <w:marRight w:val="0"/>
          <w:marTop w:val="0"/>
          <w:marBottom w:val="0"/>
          <w:divBdr>
            <w:top w:val="none" w:sz="0" w:space="0" w:color="auto"/>
            <w:left w:val="none" w:sz="0" w:space="0" w:color="auto"/>
            <w:bottom w:val="none" w:sz="0" w:space="0" w:color="auto"/>
            <w:right w:val="none" w:sz="0" w:space="0" w:color="auto"/>
          </w:divBdr>
          <w:divsChild>
            <w:div w:id="628242564">
              <w:marLeft w:val="0"/>
              <w:marRight w:val="0"/>
              <w:marTop w:val="0"/>
              <w:marBottom w:val="0"/>
              <w:divBdr>
                <w:top w:val="none" w:sz="0" w:space="0" w:color="auto"/>
                <w:left w:val="none" w:sz="0" w:space="0" w:color="auto"/>
                <w:bottom w:val="none" w:sz="0" w:space="0" w:color="auto"/>
                <w:right w:val="none" w:sz="0" w:space="0" w:color="auto"/>
              </w:divBdr>
              <w:divsChild>
                <w:div w:id="21209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820">
      <w:bodyDiv w:val="1"/>
      <w:marLeft w:val="0"/>
      <w:marRight w:val="0"/>
      <w:marTop w:val="0"/>
      <w:marBottom w:val="0"/>
      <w:divBdr>
        <w:top w:val="none" w:sz="0" w:space="0" w:color="auto"/>
        <w:left w:val="none" w:sz="0" w:space="0" w:color="auto"/>
        <w:bottom w:val="none" w:sz="0" w:space="0" w:color="auto"/>
        <w:right w:val="none" w:sz="0" w:space="0" w:color="auto"/>
      </w:divBdr>
      <w:divsChild>
        <w:div w:id="1621717282">
          <w:marLeft w:val="0"/>
          <w:marRight w:val="0"/>
          <w:marTop w:val="0"/>
          <w:marBottom w:val="0"/>
          <w:divBdr>
            <w:top w:val="none" w:sz="0" w:space="0" w:color="auto"/>
            <w:left w:val="none" w:sz="0" w:space="0" w:color="auto"/>
            <w:bottom w:val="none" w:sz="0" w:space="0" w:color="auto"/>
            <w:right w:val="none" w:sz="0" w:space="0" w:color="auto"/>
          </w:divBdr>
          <w:divsChild>
            <w:div w:id="1247152842">
              <w:marLeft w:val="0"/>
              <w:marRight w:val="0"/>
              <w:marTop w:val="0"/>
              <w:marBottom w:val="0"/>
              <w:divBdr>
                <w:top w:val="none" w:sz="0" w:space="0" w:color="auto"/>
                <w:left w:val="none" w:sz="0" w:space="0" w:color="auto"/>
                <w:bottom w:val="none" w:sz="0" w:space="0" w:color="auto"/>
                <w:right w:val="none" w:sz="0" w:space="0" w:color="auto"/>
              </w:divBdr>
              <w:divsChild>
                <w:div w:id="9583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20500">
      <w:bodyDiv w:val="1"/>
      <w:marLeft w:val="0"/>
      <w:marRight w:val="0"/>
      <w:marTop w:val="0"/>
      <w:marBottom w:val="0"/>
      <w:divBdr>
        <w:top w:val="none" w:sz="0" w:space="0" w:color="auto"/>
        <w:left w:val="none" w:sz="0" w:space="0" w:color="auto"/>
        <w:bottom w:val="none" w:sz="0" w:space="0" w:color="auto"/>
        <w:right w:val="none" w:sz="0" w:space="0" w:color="auto"/>
      </w:divBdr>
      <w:divsChild>
        <w:div w:id="2139452389">
          <w:marLeft w:val="0"/>
          <w:marRight w:val="0"/>
          <w:marTop w:val="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5651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2113</Words>
  <Characters>14586</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2017-08-21T15:55:00Z</dcterms:created>
  <dcterms:modified xsi:type="dcterms:W3CDTF">2017-08-22T15:13:00Z</dcterms:modified>
</cp:coreProperties>
</file>